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AE28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Época: Décima Época</w:t>
      </w:r>
    </w:p>
    <w:p w14:paraId="70F710B1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Registro: 2012122</w:t>
      </w:r>
    </w:p>
    <w:p w14:paraId="5148402C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Instancia: Plenos de Circuito</w:t>
      </w:r>
    </w:p>
    <w:p w14:paraId="5BD2CB26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Tipo de Tesis: Jurisprudencia</w:t>
      </w:r>
    </w:p>
    <w:p w14:paraId="40C8519D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Fuente: Semanario Judicial de la Federación</w:t>
      </w:r>
    </w:p>
    <w:p w14:paraId="5FEFC196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Publicación: viernes 15 de julio de 2016 10:15 h</w:t>
      </w:r>
    </w:p>
    <w:p w14:paraId="0BE27143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Materia(s): (Administrativa)</w:t>
      </w:r>
    </w:p>
    <w:p w14:paraId="091FBBAF" w14:textId="351198B2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Tesis: PC.III.A. J/18 A (10a.)</w:t>
      </w:r>
    </w:p>
    <w:p w14:paraId="7F1BB343" w14:textId="77777777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</w:p>
    <w:p w14:paraId="5F56E9CE" w14:textId="77777777" w:rsid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b/>
          <w:bCs/>
          <w:color w:val="6B6867"/>
        </w:rPr>
        <w:t>PRESTACIÓN DE SERVICIOS INDEPENDIENTES. PARA DETERMINAR SI LA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b/>
          <w:bCs/>
          <w:color w:val="6B6867"/>
        </w:rPr>
        <w:t>SUBCONTRATACIÓN DE PERSONAL ACTUALIZA O NO EL SUPUESTO EXCLUYENTE DE ESA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b/>
          <w:bCs/>
          <w:color w:val="6B6867"/>
        </w:rPr>
        <w:t>FIGURA, GRAVADA POR EL IMPUESTO AL VALOR AGREGADO, PREVISTO EN EL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b/>
          <w:bCs/>
          <w:color w:val="6B6867"/>
        </w:rPr>
        <w:t>PENÚLTIMO PÁRRAFO DEL ARTÍCULO 14 DE LA LEY RELATIVA, ES NECESARIO ACUDIR AL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b/>
          <w:bCs/>
          <w:color w:val="6B6867"/>
        </w:rPr>
        <w:t>NUMERAL 15-A DE LA LEY FEDERAL DEL TRABAJO</w:t>
      </w:r>
      <w:r w:rsidRPr="00436F56">
        <w:rPr>
          <w:rFonts w:cstheme="minorHAnsi"/>
          <w:color w:val="6B6867"/>
        </w:rPr>
        <w:t>.</w:t>
      </w:r>
    </w:p>
    <w:p w14:paraId="653F29F7" w14:textId="6BAA3204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b/>
          <w:bCs/>
          <w:color w:val="6B6867"/>
        </w:rPr>
      </w:pPr>
      <w:r w:rsidRPr="00436F56">
        <w:rPr>
          <w:rFonts w:cstheme="minorHAnsi"/>
          <w:color w:val="6B6867"/>
        </w:rPr>
        <w:t>La Suprema Corte de Justicia de la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Nación ha establecido jurisprudencialmente que el principio de aplicación estricta de las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leyes fiscales, contenido en el artículo 5o. del Código Fiscal de la Federación, no impide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que el intérprete acuda a los diversos métodos que permiten conocer la verdadera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intención del legislador, cuando de su análisis literal se genere incertidumbre sobre su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significado; ni tampoco constituye un obstáculo para que la ley tributaria se aplique en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congruencia con otras que guarden relación con el tema y formen parte del contexto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normativo en el que aquélla se encuentra inmerso, siempre que no exista prohibición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expresa. De ahí que, como el concepto de "subordinación" previsto en el artículo 14,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penúltimo párrafo, de la Ley del Impuesto al Valor Agregado, que establece que no se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considera prestación de servicios independientes la que realiza una persona de manera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subordinada mediante el pago de una remuneración, circunstancia que excluye el pago del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impuesto relativo, se encuentra estrechamente vinculado con la definición de relación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laboral contenida en la Ley Federal del Trabajo, se concluye que para dilucidar en cada caso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concreto si la subcontratación de personal encuadra o no en ese supuesto, no sólo resulta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permisible, sino incluso necesario, acudir el artículo 15-A de la Ley Federal del Trabajo,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ya que éste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fija ciertas condicionantes sin las cuales ese tipo de contratos implica la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existencia de una verdadera subordinación del trabajador hacia el contratante, lo cual no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puede desconocerse para efectos fiscales, porque podría dar lugar a que una relación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laboral quedara comprendida en la actividad de prestación de servicios independientes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gravada por el impuesto al valor agregado, con la consiguiente posibilidad de que el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contratante acredite el impuesto trasladado por el contratista, pese a que aquella norma lo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excluye en forma expresa, siempre y cuando la prestación cumpla con los tres requisitos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que señala el numeral aludid de la ley laboral, es decir, que ese tipo de trabajos cumpla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con las condiciones de que: a) No podrá abarcar la totalidad de las actividades, iguales o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similares en su totalidad, que se desarrollen en el centro de trabajo; b) Deberá justificarse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por su carácter especializado; y c) No podrá comprender tareas iguales o similares a las que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realizan el resto de los trabajadores al servicio del contratante. Así, corresponde a la</w:t>
      </w:r>
      <w:r w:rsidRPr="00436F56"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contrib</w:t>
      </w:r>
      <w:r>
        <w:rPr>
          <w:rFonts w:cstheme="minorHAnsi"/>
          <w:color w:val="6B6867"/>
        </w:rPr>
        <w:t>u</w:t>
      </w:r>
      <w:r w:rsidRPr="00436F56">
        <w:rPr>
          <w:rFonts w:cstheme="minorHAnsi"/>
          <w:color w:val="6B6867"/>
        </w:rPr>
        <w:t>yente acreditar que la contratación de los servicios independientes o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subcontratación que refiere el dispositivo 15-A mencionado, se actualizó para poder</w:t>
      </w:r>
      <w:r>
        <w:rPr>
          <w:rFonts w:cstheme="minorHAnsi"/>
          <w:b/>
          <w:bCs/>
          <w:color w:val="6B6867"/>
        </w:rPr>
        <w:t xml:space="preserve"> </w:t>
      </w:r>
      <w:r w:rsidRPr="00436F56">
        <w:rPr>
          <w:rFonts w:cstheme="minorHAnsi"/>
          <w:color w:val="6B6867"/>
        </w:rPr>
        <w:t>acreditar la devolución del impuesto que solicita.</w:t>
      </w:r>
    </w:p>
    <w:p w14:paraId="6D5883D1" w14:textId="77777777" w:rsid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</w:p>
    <w:p w14:paraId="4339E27D" w14:textId="7B4DA8FA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b/>
          <w:bCs/>
          <w:color w:val="6B6867"/>
        </w:rPr>
      </w:pPr>
      <w:r w:rsidRPr="00436F56">
        <w:rPr>
          <w:rFonts w:cstheme="minorHAnsi"/>
          <w:b/>
          <w:bCs/>
          <w:color w:val="6B6867"/>
        </w:rPr>
        <w:t>PLENO EN MATERIA ADMINISTRATIVA DEL TERCER CIRCUITO.</w:t>
      </w:r>
    </w:p>
    <w:p w14:paraId="4B021FDC" w14:textId="7C599BD2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Contradicción de tesis 13/2015. Entre las sustentadas por los Tribunales Colegiados Quinto y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Cuarto, ambos en Materia Administrativa del Tercer Circuito. 18 de abril de 2016.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Unanimidad de cinco votos de los Magistrados José Manuel Mojica Hernández, presidente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interino por autorización expresa del artículo 14 del Acuerdo General 8/2015 del Pleno del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Consejo de la Judicatura Federal, relativo a la integración y funcionamiento de los Plenos de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Circuito, Rogelio Camarena Cortés, Filemón Haro Solís, Jorge Humberto Benítez Pimienta y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 xml:space="preserve">Juan Bonilla Pizano, en suplencia por </w:t>
      </w:r>
      <w:r w:rsidRPr="00436F56">
        <w:rPr>
          <w:rFonts w:cstheme="minorHAnsi"/>
          <w:color w:val="6B6867"/>
        </w:rPr>
        <w:lastRenderedPageBreak/>
        <w:t>ausencia del Magistrado Roberto Charcas León.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Ponente: Rogelio Camarena Cortés. Secretario: José Guadalupe Castañeda Ramos.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Criterios contendientes:</w:t>
      </w:r>
    </w:p>
    <w:p w14:paraId="09F0B9C6" w14:textId="76E33F84" w:rsidR="00436F56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El sustentado por el Quinto Tribunal Colegiado en Materia Administrativa del Tercer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Circuito, al resolver el amparo directo 238/2015, y el diverso sustentado por el Cuarto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Tribunal Colegiado en Materia Administrativa del Tercer Circuito, al resolver la revisión fiscal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76/2015 y el amparo directo 215/2015.</w:t>
      </w:r>
    </w:p>
    <w:p w14:paraId="2BB9B6F4" w14:textId="79369B2C" w:rsidR="00D4059F" w:rsidRPr="00436F56" w:rsidRDefault="00436F56" w:rsidP="00436F56">
      <w:pPr>
        <w:autoSpaceDE w:val="0"/>
        <w:autoSpaceDN w:val="0"/>
        <w:adjustRightInd w:val="0"/>
        <w:jc w:val="both"/>
        <w:rPr>
          <w:rFonts w:cstheme="minorHAnsi"/>
          <w:color w:val="6B6867"/>
        </w:rPr>
      </w:pPr>
      <w:r w:rsidRPr="00436F56">
        <w:rPr>
          <w:rFonts w:cstheme="minorHAnsi"/>
          <w:color w:val="6B6867"/>
        </w:rPr>
        <w:t>Esta tesis se publicó el viernes 15 de julio de 2016 a las 10:15 horas en el Semanario Judicial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de la Federación y, por ende, se considera de aplicación obligatoria a partir del lunes 01 de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agosto de 2016, para los efectos previstos en el punto séptimo del Acuerdo General</w:t>
      </w:r>
      <w:r>
        <w:rPr>
          <w:rFonts w:cstheme="minorHAnsi"/>
          <w:color w:val="6B6867"/>
        </w:rPr>
        <w:t xml:space="preserve"> </w:t>
      </w:r>
      <w:r w:rsidRPr="00436F56">
        <w:rPr>
          <w:rFonts w:cstheme="minorHAnsi"/>
          <w:color w:val="6B6867"/>
        </w:rPr>
        <w:t>Plenario 19/2013.</w:t>
      </w:r>
    </w:p>
    <w:sectPr w:rsidR="00D4059F" w:rsidRPr="00436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56"/>
    <w:rsid w:val="00436F56"/>
    <w:rsid w:val="00D4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81E9"/>
  <w15:chartTrackingRefBased/>
  <w15:docId w15:val="{72DC0E4F-F596-4118-A624-F8DF241B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Corporativo D.G.</dc:creator>
  <cp:keywords/>
  <dc:description/>
  <cp:lastModifiedBy>Corporativo D.G.</cp:lastModifiedBy>
  <cp:revision>1</cp:revision>
  <dcterms:created xsi:type="dcterms:W3CDTF">2021-05-15T06:34:00Z</dcterms:created>
  <dcterms:modified xsi:type="dcterms:W3CDTF">2021-05-15T06:41:00Z</dcterms:modified>
</cp:coreProperties>
</file>