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31C7F" w14:textId="77777777" w:rsidR="00C17424" w:rsidRDefault="006C483F">
      <w:pPr>
        <w:spacing w:after="40"/>
      </w:pPr>
      <w:r>
        <w:rPr>
          <w:b/>
          <w:bCs/>
          <w:color w:val="B8790E"/>
          <w:spacing w:val="20"/>
        </w:rPr>
        <w:t>GUÍA DE RESPUESTAS PARA EL FACILITADOR</w:t>
      </w:r>
    </w:p>
    <w:p w14:paraId="01F8F075" w14:textId="77777777" w:rsidR="00C17424" w:rsidRDefault="006C483F">
      <w:pPr>
        <w:spacing w:after="120"/>
      </w:pPr>
      <w:r>
        <w:rPr>
          <w:b/>
          <w:bCs/>
          <w:color w:val="1E2761"/>
          <w:sz w:val="40"/>
          <w:szCs w:val="40"/>
        </w:rPr>
        <w:t>Ejercicios prácticos de la conferencia</w:t>
      </w:r>
    </w:p>
    <w:p w14:paraId="462D7472" w14:textId="77777777" w:rsidR="00C17424" w:rsidRDefault="006C483F">
      <w:pPr>
        <w:spacing w:after="300"/>
      </w:pPr>
      <w:r>
        <w:rPr>
          <w:i/>
          <w:iCs/>
          <w:color w:val="666666"/>
          <w:sz w:val="22"/>
          <w:szCs w:val="22"/>
        </w:rPr>
        <w:t>Control Interno, Optimización de Procesos y Eficiencia Operativa · Conferencia de 4 horas</w:t>
      </w:r>
    </w:p>
    <w:p w14:paraId="58D91F3E" w14:textId="77777777" w:rsidR="00C17424" w:rsidRDefault="006C483F">
      <w:pPr>
        <w:spacing w:after="120"/>
      </w:pPr>
      <w:r>
        <w:rPr>
          <w:color w:val="333333"/>
          <w:sz w:val="22"/>
          <w:szCs w:val="22"/>
        </w:rPr>
        <w:t>Este documento acompaña la presentación y ofrece propuestas de respuesta para los cinco ejercicios prácticos de la sesión. En los ejercicios de los módulos 1, 2 y 4 el caso es cerrado, por lo que se ofrece una respuesta de referencia concreta. En los ejercicios de los módulos 3 y 5 el caso pide a cada participante partir de su propio proceso o su propia organización, por lo que no existe una única respuesta correcta: en su lugar se incluye un ejemplo desarrollado y los criterios que debe cumplir cualquier respuesta válida, para que pueda evaluar las aportaciones del grupo.</w:t>
      </w:r>
    </w:p>
    <w:p w14:paraId="1C907899" w14:textId="77777777" w:rsidR="00C17424" w:rsidRDefault="006C483F">
      <w:pPr>
        <w:pStyle w:val="Ttulo1"/>
        <w:pBdr>
          <w:bottom w:val="single" w:sz="6" w:space="4" w:color="1E2761"/>
        </w:pBdr>
        <w:spacing w:before="400" w:after="160"/>
      </w:pPr>
      <w:r>
        <w:rPr>
          <w:b/>
          <w:bCs/>
          <w:color w:val="1E2761"/>
          <w:sz w:val="30"/>
          <w:szCs w:val="30"/>
        </w:rPr>
        <w:t>Módulo 1 — Caso: el área de compras</w:t>
      </w:r>
    </w:p>
    <w:p w14:paraId="6D6F4EB6" w14:textId="77777777" w:rsidR="00C17424" w:rsidRDefault="006C483F">
      <w:pPr>
        <w:pBdr>
          <w:top w:val="single" w:sz="4" w:space="8" w:color="CADCFC"/>
          <w:left w:val="single" w:sz="4" w:space="8" w:color="CADCFC"/>
          <w:bottom w:val="single" w:sz="4" w:space="8" w:color="CADCFC"/>
          <w:right w:val="single" w:sz="4" w:space="8" w:color="CADCFC"/>
        </w:pBdr>
        <w:shd w:val="clear" w:color="auto" w:fill="F2F5FC"/>
        <w:spacing w:before="80" w:after="160"/>
      </w:pPr>
      <w:r>
        <w:rPr>
          <w:b/>
          <w:bCs/>
          <w:i/>
          <w:iCs/>
          <w:color w:val="1E2761"/>
          <w:sz w:val="22"/>
          <w:szCs w:val="22"/>
        </w:rPr>
        <w:t xml:space="preserve">Escenario: </w:t>
      </w:r>
      <w:r>
        <w:rPr>
          <w:i/>
          <w:iCs/>
          <w:color w:val="333333"/>
          <w:sz w:val="22"/>
          <w:szCs w:val="22"/>
        </w:rPr>
        <w:t>En "Comercial del Valle", un mismo colaborador solicita las compras, elige al proveedor, recibe la mercancía y registra la factura en el sistema. No existen políticas escritas de autorización.</w:t>
      </w:r>
    </w:p>
    <w:p w14:paraId="622B80BE" w14:textId="77777777" w:rsidR="00C17424" w:rsidRDefault="006C483F">
      <w:pPr>
        <w:spacing w:before="180" w:after="60"/>
      </w:pPr>
      <w:r>
        <w:rPr>
          <w:b/>
          <w:bCs/>
          <w:color w:val="1E2761"/>
          <w:sz w:val="22"/>
          <w:szCs w:val="22"/>
        </w:rPr>
        <w:t xml:space="preserve">Tarea 1.  </w:t>
      </w:r>
      <w:r>
        <w:rPr>
          <w:i/>
          <w:iCs/>
          <w:color w:val="666666"/>
          <w:sz w:val="22"/>
          <w:szCs w:val="22"/>
        </w:rPr>
        <w:t>Identifique qué elementos del control interno están ausentes.</w:t>
      </w:r>
    </w:p>
    <w:p w14:paraId="39F6F721" w14:textId="77777777" w:rsidR="00C17424" w:rsidRDefault="006C483F">
      <w:pPr>
        <w:spacing w:after="100"/>
      </w:pPr>
      <w:r>
        <w:rPr>
          <w:b/>
          <w:bCs/>
          <w:color w:val="B8790E"/>
          <w:sz w:val="21"/>
          <w:szCs w:val="21"/>
        </w:rPr>
        <w:t xml:space="preserve">Propuesta de respuesta: </w:t>
      </w:r>
      <w:r>
        <w:rPr>
          <w:color w:val="333333"/>
          <w:sz w:val="21"/>
          <w:szCs w:val="21"/>
        </w:rPr>
        <w:t xml:space="preserve">Faltan al menos cuatro elementos. </w:t>
      </w:r>
      <w:r w:rsidRPr="00096A79">
        <w:rPr>
          <w:color w:val="333333"/>
          <w:sz w:val="21"/>
          <w:szCs w:val="21"/>
          <w:highlight w:val="green"/>
        </w:rPr>
        <w:t>En ambiente de control</w:t>
      </w:r>
      <w:r w:rsidRPr="00096A79">
        <w:rPr>
          <w:color w:val="333333"/>
          <w:sz w:val="21"/>
          <w:szCs w:val="21"/>
        </w:rPr>
        <w:t xml:space="preserve">, </w:t>
      </w:r>
      <w:r w:rsidRPr="00096A79">
        <w:rPr>
          <w:color w:val="333333"/>
          <w:sz w:val="21"/>
          <w:szCs w:val="21"/>
          <w:highlight w:val="yellow"/>
        </w:rPr>
        <w:t>no hay políticas</w:t>
      </w:r>
      <w:r w:rsidRPr="00096A79">
        <w:rPr>
          <w:color w:val="333333"/>
          <w:sz w:val="21"/>
          <w:szCs w:val="21"/>
        </w:rPr>
        <w:t xml:space="preserve"> escritas ni un tono formal desde la dirección sobre cómo debe operar el proceso. </w:t>
      </w:r>
      <w:r w:rsidRPr="00096A79">
        <w:rPr>
          <w:color w:val="333333"/>
          <w:sz w:val="21"/>
          <w:szCs w:val="21"/>
          <w:highlight w:val="green"/>
        </w:rPr>
        <w:t>En segregación de funciones</w:t>
      </w:r>
      <w:r w:rsidRPr="00096A79">
        <w:rPr>
          <w:color w:val="333333"/>
          <w:sz w:val="21"/>
          <w:szCs w:val="21"/>
        </w:rPr>
        <w:t xml:space="preserve">, </w:t>
      </w:r>
      <w:r w:rsidRPr="00096A79">
        <w:rPr>
          <w:color w:val="333333"/>
          <w:sz w:val="21"/>
          <w:szCs w:val="21"/>
          <w:highlight w:val="yellow"/>
        </w:rPr>
        <w:t>la ausencia es total</w:t>
      </w:r>
      <w:r w:rsidRPr="00096A79">
        <w:rPr>
          <w:color w:val="333333"/>
          <w:sz w:val="21"/>
          <w:szCs w:val="21"/>
        </w:rPr>
        <w:t xml:space="preserve">: una sola persona concentra las cuatro funciones críticas (autorización, ejecución, custodia y registro). En </w:t>
      </w:r>
      <w:r w:rsidRPr="00096A79">
        <w:rPr>
          <w:color w:val="333333"/>
          <w:sz w:val="21"/>
          <w:szCs w:val="21"/>
          <w:highlight w:val="green"/>
        </w:rPr>
        <w:t>actividades de control</w:t>
      </w:r>
      <w:r w:rsidRPr="00096A79">
        <w:rPr>
          <w:color w:val="333333"/>
          <w:sz w:val="21"/>
          <w:szCs w:val="21"/>
        </w:rPr>
        <w:t xml:space="preserve">, </w:t>
      </w:r>
      <w:r w:rsidRPr="00096A79">
        <w:rPr>
          <w:color w:val="333333"/>
          <w:sz w:val="21"/>
          <w:szCs w:val="21"/>
          <w:highlight w:val="yellow"/>
        </w:rPr>
        <w:t>no existen aprobaciones</w:t>
      </w:r>
      <w:r w:rsidRPr="00096A79">
        <w:rPr>
          <w:color w:val="333333"/>
          <w:sz w:val="21"/>
          <w:szCs w:val="21"/>
        </w:rPr>
        <w:t xml:space="preserve"> por nivel de monto,</w:t>
      </w:r>
      <w:r>
        <w:rPr>
          <w:color w:val="333333"/>
          <w:sz w:val="21"/>
          <w:szCs w:val="21"/>
        </w:rPr>
        <w:t xml:space="preserve"> doble firma ni verificación cruzada. Y en </w:t>
      </w:r>
      <w:r w:rsidRPr="00096A79">
        <w:rPr>
          <w:color w:val="333333"/>
          <w:sz w:val="21"/>
          <w:szCs w:val="21"/>
          <w:highlight w:val="green"/>
        </w:rPr>
        <w:t>supervisión</w:t>
      </w:r>
      <w:r>
        <w:rPr>
          <w:color w:val="333333"/>
          <w:sz w:val="21"/>
          <w:szCs w:val="21"/>
        </w:rPr>
        <w:t xml:space="preserve">, no se menciona </w:t>
      </w:r>
      <w:r w:rsidRPr="00FB1BAF">
        <w:rPr>
          <w:color w:val="333333"/>
          <w:sz w:val="21"/>
          <w:szCs w:val="21"/>
          <w:highlight w:val="yellow"/>
        </w:rPr>
        <w:t>ningún mecanismo de revisión</w:t>
      </w:r>
      <w:r>
        <w:rPr>
          <w:color w:val="333333"/>
          <w:sz w:val="21"/>
          <w:szCs w:val="21"/>
        </w:rPr>
        <w:t xml:space="preserve"> periódica que detecte desviaciones.</w:t>
      </w:r>
    </w:p>
    <w:p w14:paraId="52737B5D" w14:textId="77777777" w:rsidR="00C17424" w:rsidRDefault="006C483F">
      <w:pPr>
        <w:spacing w:before="180" w:after="60"/>
      </w:pPr>
      <w:r>
        <w:rPr>
          <w:b/>
          <w:bCs/>
          <w:color w:val="1E2761"/>
          <w:sz w:val="22"/>
          <w:szCs w:val="22"/>
        </w:rPr>
        <w:t xml:space="preserve">Tarea 2.  </w:t>
      </w:r>
      <w:r>
        <w:rPr>
          <w:i/>
          <w:iCs/>
          <w:color w:val="666666"/>
          <w:sz w:val="22"/>
          <w:szCs w:val="22"/>
        </w:rPr>
        <w:t>Proponga cómo segregaría las funciones con el personal disponible (5 personas en el área).</w:t>
      </w:r>
    </w:p>
    <w:p w14:paraId="3350787A" w14:textId="77777777" w:rsidR="00C17424" w:rsidRDefault="006C483F">
      <w:pPr>
        <w:spacing w:after="100"/>
      </w:pPr>
      <w:r>
        <w:rPr>
          <w:b/>
          <w:bCs/>
          <w:color w:val="B8790E"/>
          <w:sz w:val="21"/>
          <w:szCs w:val="21"/>
        </w:rPr>
        <w:t xml:space="preserve">Propuesta de respuesta: </w:t>
      </w:r>
      <w:r>
        <w:rPr>
          <w:color w:val="333333"/>
          <w:sz w:val="21"/>
          <w:szCs w:val="21"/>
        </w:rPr>
        <w:t>Con cinco personas es posible separar casi por completo las cuatro funciones. Por ejemplo: la persona A solicita la compra (requisición) como usuaria del bien o servicio; la persona B autoriza la compra conforme a un tabulador de montos; la persona C selecciona y negocia con el proveedor y coloca la orden de compra; la persona D recibe físicamente la mercancía y verifica cantidad y calidad contra la orden; y la persona E registra la factura y concilia contra la orden de compra y la recepción. La regla general es que ninguna persona debe controlar dos o más de: autorizar, ejecutar, custodiar o registrar la misma operación.</w:t>
      </w:r>
    </w:p>
    <w:p w14:paraId="312AA40F" w14:textId="77777777" w:rsidR="00C17424" w:rsidRDefault="006C483F">
      <w:pPr>
        <w:spacing w:before="180" w:after="60"/>
      </w:pPr>
      <w:r>
        <w:rPr>
          <w:b/>
          <w:bCs/>
          <w:color w:val="1E2761"/>
          <w:sz w:val="22"/>
          <w:szCs w:val="22"/>
        </w:rPr>
        <w:t xml:space="preserve">Tarea 3.  </w:t>
      </w:r>
      <w:r>
        <w:rPr>
          <w:i/>
          <w:iCs/>
          <w:color w:val="666666"/>
          <w:sz w:val="22"/>
          <w:szCs w:val="22"/>
        </w:rPr>
        <w:t>Defina un control compensatorio si la segregación total no es posible.</w:t>
      </w:r>
    </w:p>
    <w:p w14:paraId="4BE48EB8" w14:textId="77777777" w:rsidR="00C17424" w:rsidRDefault="006C483F">
      <w:pPr>
        <w:spacing w:after="100"/>
      </w:pPr>
      <w:r>
        <w:rPr>
          <w:b/>
          <w:bCs/>
          <w:color w:val="B8790E"/>
          <w:sz w:val="21"/>
          <w:szCs w:val="21"/>
        </w:rPr>
        <w:t xml:space="preserve">Propuesta de respuesta: </w:t>
      </w:r>
      <w:r>
        <w:rPr>
          <w:color w:val="333333"/>
          <w:sz w:val="21"/>
          <w:szCs w:val="21"/>
        </w:rPr>
        <w:t xml:space="preserve">Si el equipo se reduce a dos o tres personas, un control compensatorio típico es exigir doble firma (física o electrónica) en la orden de compra antes de pagarla. A esto se suma una conciliación cruzada periódica, en la que alguien externo al proceso — por </w:t>
      </w:r>
      <w:proofErr w:type="gramStart"/>
      <w:r>
        <w:rPr>
          <w:color w:val="333333"/>
          <w:sz w:val="21"/>
          <w:szCs w:val="21"/>
        </w:rPr>
        <w:t>ejemplo</w:t>
      </w:r>
      <w:proofErr w:type="gramEnd"/>
      <w:r>
        <w:rPr>
          <w:color w:val="333333"/>
          <w:sz w:val="21"/>
          <w:szCs w:val="21"/>
        </w:rPr>
        <w:t xml:space="preserve"> el jefe de área o contraloría — revisa una muestra de compras contra la evidencia de recepción y la factura. La rotación periódica de quien recibe la mercancía y un rastro de auditoría (log) que registre quién solicitó, autorizó, recibió y registró cada operación, con fecha y hora, completan el esquema y permiten reconstruir cualquier anomalía.</w:t>
      </w:r>
    </w:p>
    <w:p w14:paraId="1A43F652" w14:textId="77777777" w:rsidR="00C17424" w:rsidRDefault="006C483F">
      <w:pPr>
        <w:pStyle w:val="Ttulo1"/>
        <w:pBdr>
          <w:bottom w:val="single" w:sz="6" w:space="4" w:color="1E2761"/>
        </w:pBdr>
        <w:spacing w:before="400" w:after="160"/>
      </w:pPr>
      <w:r>
        <w:rPr>
          <w:b/>
          <w:bCs/>
          <w:color w:val="1E2761"/>
          <w:sz w:val="30"/>
          <w:szCs w:val="30"/>
        </w:rPr>
        <w:t>Módulo 2 — Caso: diagnóstico exprés</w:t>
      </w:r>
    </w:p>
    <w:p w14:paraId="3C4D7A96" w14:textId="77777777" w:rsidR="00C17424" w:rsidRDefault="006C483F">
      <w:pPr>
        <w:pBdr>
          <w:top w:val="single" w:sz="4" w:space="8" w:color="CADCFC"/>
          <w:left w:val="single" w:sz="4" w:space="8" w:color="CADCFC"/>
          <w:bottom w:val="single" w:sz="4" w:space="8" w:color="CADCFC"/>
          <w:right w:val="single" w:sz="4" w:space="8" w:color="CADCFC"/>
        </w:pBdr>
        <w:shd w:val="clear" w:color="auto" w:fill="F2F5FC"/>
        <w:spacing w:before="80" w:after="160"/>
      </w:pPr>
      <w:r>
        <w:rPr>
          <w:b/>
          <w:bCs/>
          <w:i/>
          <w:iCs/>
          <w:color w:val="1E2761"/>
          <w:sz w:val="22"/>
          <w:szCs w:val="22"/>
        </w:rPr>
        <w:t xml:space="preserve">Escenario: </w:t>
      </w:r>
      <w:r>
        <w:rPr>
          <w:i/>
          <w:iCs/>
          <w:color w:val="333333"/>
          <w:sz w:val="22"/>
          <w:szCs w:val="22"/>
        </w:rPr>
        <w:t>Su equipo debe levantar y diagnosticar el proceso de "reembolso de gastos de viaje" en dos semanas, antes de rediseñarlo.</w:t>
      </w:r>
    </w:p>
    <w:p w14:paraId="03649B52" w14:textId="77777777" w:rsidR="00C17424" w:rsidRDefault="006C483F">
      <w:pPr>
        <w:spacing w:before="180" w:after="60"/>
      </w:pPr>
      <w:r>
        <w:rPr>
          <w:b/>
          <w:bCs/>
          <w:color w:val="1E2761"/>
          <w:sz w:val="22"/>
          <w:szCs w:val="22"/>
        </w:rPr>
        <w:t xml:space="preserve">Tarea 1.  </w:t>
      </w:r>
      <w:r>
        <w:rPr>
          <w:i/>
          <w:iCs/>
          <w:color w:val="666666"/>
          <w:sz w:val="22"/>
          <w:szCs w:val="22"/>
        </w:rPr>
        <w:t>Liste 3 fuentes de información que recabaría (fase 2).</w:t>
      </w:r>
    </w:p>
    <w:p w14:paraId="45A74F90" w14:textId="77777777" w:rsidR="00C17424" w:rsidRDefault="006C483F">
      <w:pPr>
        <w:spacing w:after="100"/>
      </w:pPr>
      <w:r>
        <w:rPr>
          <w:b/>
          <w:bCs/>
          <w:color w:val="B8790E"/>
          <w:sz w:val="21"/>
          <w:szCs w:val="21"/>
        </w:rPr>
        <w:t xml:space="preserve">Propuesta de respuesta: </w:t>
      </w:r>
      <w:r>
        <w:rPr>
          <w:color w:val="333333"/>
          <w:sz w:val="21"/>
          <w:szCs w:val="21"/>
        </w:rPr>
        <w:t xml:space="preserve">Primero, la política vigente de viáticos y reembolso, si existe, para conocer la regla formal. Segundo, entrevistas con los colaboradores que viajan con frecuencia y con quien procesa hoy los reembolsos (típicamente Recursos Humanos o Contabilidad), para conocer cómo opera el proceso en la práctica. Tercero, una muestra de solicitudes de reembolso de los últimos tres a seis meses, revisando los formatos usados, </w:t>
      </w:r>
      <w:r>
        <w:rPr>
          <w:color w:val="333333"/>
          <w:sz w:val="21"/>
          <w:szCs w:val="21"/>
        </w:rPr>
        <w:lastRenderedPageBreak/>
        <w:t>los tiempos de respuesta reales y los comprobantes anexados. Como cuarta fuente complementaria, conviene revisar el sistema o el correo electrónico donde hoy se tramitan las solicitudes, ya que ahí suele verse el flujo real, distinto del flujo documentado.</w:t>
      </w:r>
    </w:p>
    <w:p w14:paraId="3EA418AF" w14:textId="77777777" w:rsidR="00C17424" w:rsidRDefault="006C483F">
      <w:pPr>
        <w:spacing w:before="180" w:after="60"/>
      </w:pPr>
      <w:r>
        <w:rPr>
          <w:b/>
          <w:bCs/>
          <w:color w:val="1E2761"/>
          <w:sz w:val="22"/>
          <w:szCs w:val="22"/>
        </w:rPr>
        <w:t xml:space="preserve">Tarea 2.  </w:t>
      </w:r>
      <w:r>
        <w:rPr>
          <w:i/>
          <w:iCs/>
          <w:color w:val="666666"/>
          <w:sz w:val="22"/>
          <w:szCs w:val="22"/>
        </w:rPr>
        <w:t>Proponga un criterio de clasificación para ordenar lo recabado (fase 3).</w:t>
      </w:r>
    </w:p>
    <w:p w14:paraId="3853D574" w14:textId="77777777" w:rsidR="00C17424" w:rsidRDefault="006C483F">
      <w:pPr>
        <w:spacing w:after="100"/>
      </w:pPr>
      <w:r>
        <w:rPr>
          <w:b/>
          <w:bCs/>
          <w:color w:val="B8790E"/>
          <w:sz w:val="21"/>
          <w:szCs w:val="21"/>
        </w:rPr>
        <w:t xml:space="preserve">Propuesta de respuesta: </w:t>
      </w:r>
      <w:r>
        <w:rPr>
          <w:color w:val="333333"/>
          <w:sz w:val="21"/>
          <w:szCs w:val="21"/>
        </w:rPr>
        <w:t>Un criterio útil combina cuatro dimensiones: el tipo de gasto (transporte, hospedaje, alimentos, otros), el monto (agrupado por rangos, para definir después niveles de aprobación), la etapa del proceso en la que se genera la información (solicitud, aprobación, comprobación, pago) y el nivel de riesgo aparente (por ejemplo, gastos sin comprobante o que exceden la política). Clasificar así facilita identificar en la fase de diagnóstico dónde se concentran los problemas.</w:t>
      </w:r>
    </w:p>
    <w:p w14:paraId="0330A1DB" w14:textId="77777777" w:rsidR="00C17424" w:rsidRDefault="006C483F">
      <w:pPr>
        <w:spacing w:before="180" w:after="60"/>
      </w:pPr>
      <w:r>
        <w:rPr>
          <w:b/>
          <w:bCs/>
          <w:color w:val="1E2761"/>
          <w:sz w:val="22"/>
          <w:szCs w:val="22"/>
        </w:rPr>
        <w:t xml:space="preserve">Tarea 3.  </w:t>
      </w:r>
      <w:r>
        <w:rPr>
          <w:i/>
          <w:iCs/>
          <w:color w:val="666666"/>
          <w:sz w:val="22"/>
          <w:szCs w:val="22"/>
        </w:rPr>
        <w:t>Mencione una brecha típica que esperaría encontrar en el diagnóstico (fase 4).</w:t>
      </w:r>
    </w:p>
    <w:p w14:paraId="7BBDF272" w14:textId="77777777" w:rsidR="00C17424" w:rsidRDefault="006C483F">
      <w:pPr>
        <w:spacing w:after="100"/>
      </w:pPr>
      <w:r>
        <w:rPr>
          <w:b/>
          <w:bCs/>
          <w:color w:val="B8790E"/>
          <w:sz w:val="21"/>
          <w:szCs w:val="21"/>
        </w:rPr>
        <w:t xml:space="preserve">Propuesta de respuesta: </w:t>
      </w:r>
      <w:r>
        <w:rPr>
          <w:color w:val="333333"/>
          <w:sz w:val="21"/>
          <w:szCs w:val="21"/>
        </w:rPr>
        <w:t>Es común encontrar que no existe un tope claro de gasto por categoría, que la aprobación ocurre después de haberse incurrido en el gasto en lugar de antes, que faltan comprobantes originales en una parte relevante de las solicitudes, que los tiempos de reembolso son largos y generan quejas recurrentes, o que cada colaborador reporta en un formato distinto porque no existe uno único y obligatorio.</w:t>
      </w:r>
    </w:p>
    <w:p w14:paraId="410AFFD8" w14:textId="77777777" w:rsidR="00C17424" w:rsidRDefault="006C483F">
      <w:pPr>
        <w:pStyle w:val="Ttulo1"/>
        <w:pBdr>
          <w:bottom w:val="single" w:sz="6" w:space="4" w:color="1E2761"/>
        </w:pBdr>
        <w:spacing w:before="400" w:after="160"/>
      </w:pPr>
      <w:r>
        <w:rPr>
          <w:b/>
          <w:bCs/>
          <w:color w:val="1E2761"/>
          <w:sz w:val="30"/>
          <w:szCs w:val="30"/>
        </w:rPr>
        <w:t>Módulo 3 — Caso: mapa de riesgos de su área</w:t>
      </w:r>
    </w:p>
    <w:p w14:paraId="5E05D8C2" w14:textId="77777777" w:rsidR="00C17424" w:rsidRDefault="006C483F">
      <w:pPr>
        <w:pBdr>
          <w:top w:val="single" w:sz="4" w:space="8" w:color="CADCFC"/>
          <w:left w:val="single" w:sz="4" w:space="8" w:color="CADCFC"/>
          <w:bottom w:val="single" w:sz="4" w:space="8" w:color="CADCFC"/>
          <w:right w:val="single" w:sz="4" w:space="8" w:color="CADCFC"/>
        </w:pBdr>
        <w:shd w:val="clear" w:color="auto" w:fill="F2F5FC"/>
        <w:spacing w:before="80" w:after="160"/>
      </w:pPr>
      <w:r>
        <w:rPr>
          <w:b/>
          <w:bCs/>
          <w:i/>
          <w:iCs/>
          <w:color w:val="1E2761"/>
          <w:sz w:val="22"/>
          <w:szCs w:val="22"/>
        </w:rPr>
        <w:t xml:space="preserve">Escenario: </w:t>
      </w:r>
      <w:r>
        <w:rPr>
          <w:i/>
          <w:iCs/>
          <w:color w:val="333333"/>
          <w:sz w:val="22"/>
          <w:szCs w:val="22"/>
        </w:rPr>
        <w:t>Piense en un proceso crítico de su área (por ejemplo: nómina, ventas, producción o atención a clientes).</w:t>
      </w:r>
    </w:p>
    <w:p w14:paraId="21597BC5" w14:textId="31684256" w:rsidR="00C17424" w:rsidRDefault="006C483F">
      <w:pPr>
        <w:spacing w:before="120" w:after="200"/>
      </w:pPr>
      <w:r>
        <w:rPr>
          <w:b/>
          <w:bCs/>
          <w:i/>
          <w:iCs/>
          <w:color w:val="666666"/>
        </w:rPr>
        <w:t xml:space="preserve">Nota: </w:t>
      </w:r>
      <w:r>
        <w:rPr>
          <w:i/>
          <w:iCs/>
          <w:color w:val="666666"/>
        </w:rPr>
        <w:t xml:space="preserve">Este ejercicio parte del proceso real de cada participante, así que no hay una respuesta única. A </w:t>
      </w:r>
      <w:proofErr w:type="gramStart"/>
      <w:r>
        <w:rPr>
          <w:i/>
          <w:iCs/>
          <w:color w:val="666666"/>
        </w:rPr>
        <w:t>continuación</w:t>
      </w:r>
      <w:proofErr w:type="gramEnd"/>
      <w:r>
        <w:rPr>
          <w:i/>
          <w:iCs/>
          <w:color w:val="666666"/>
        </w:rPr>
        <w:t xml:space="preserve"> se desarrolla un ejemplo completo (proceso de nómina) para ilustrar el nivel de detalle esperado, seguido de los criterios para evaluar cualquier otra respuesta del grupo.</w:t>
      </w:r>
    </w:p>
    <w:p w14:paraId="00EE009F" w14:textId="77777777" w:rsidR="00C17424" w:rsidRDefault="006C483F">
      <w:pPr>
        <w:spacing w:before="140" w:after="40"/>
      </w:pPr>
      <w:r>
        <w:rPr>
          <w:b/>
          <w:bCs/>
          <w:color w:val="1E2761"/>
          <w:sz w:val="21"/>
          <w:szCs w:val="21"/>
        </w:rPr>
        <w:t>Ejemplo desarrollado — Proceso de nómina</w:t>
      </w:r>
    </w:p>
    <w:p w14:paraId="459A9540" w14:textId="77777777" w:rsidR="00C17424" w:rsidRDefault="006C483F">
      <w:pPr>
        <w:pStyle w:val="Prrafodelista"/>
        <w:numPr>
          <w:ilvl w:val="0"/>
          <w:numId w:val="1"/>
        </w:numPr>
        <w:spacing w:after="40"/>
      </w:pPr>
      <w:r>
        <w:rPr>
          <w:color w:val="333333"/>
          <w:sz w:val="21"/>
          <w:szCs w:val="21"/>
        </w:rPr>
        <w:t>Riesgo 1: pago de nómina a personal que ya causó baja, por actualización tardía entre Recursos Humanos y el área de nómina. Tipo: operativo y financiero. En la matriz: probabilidad media, impacto medio-alto. Estrategia: reducir/mitigar, mediante una conciliación obligatoria de bajas antes de cada corrida de pago.</w:t>
      </w:r>
    </w:p>
    <w:p w14:paraId="565C88A6" w14:textId="77777777" w:rsidR="00C17424" w:rsidRDefault="006C483F">
      <w:pPr>
        <w:pStyle w:val="Prrafodelista"/>
        <w:numPr>
          <w:ilvl w:val="0"/>
          <w:numId w:val="1"/>
        </w:numPr>
        <w:spacing w:after="40"/>
      </w:pPr>
      <w:r>
        <w:rPr>
          <w:color w:val="333333"/>
          <w:sz w:val="21"/>
          <w:szCs w:val="21"/>
        </w:rPr>
        <w:t>Riesgo 2: filtración de información salarial confidencial por accesos amplios al sistema de nómina. Tipo: reputacional y de cumplimiento (protección de datos). En la matriz: probabilidad baja, impacto alto. Estrategia: reducir, restringiendo accesos por rol, cifrando archivos y firmando acuerdos de confidencialidad con quienes procesan la nómina.</w:t>
      </w:r>
    </w:p>
    <w:p w14:paraId="36F329CA" w14:textId="77777777" w:rsidR="00C17424" w:rsidRDefault="006C483F">
      <w:pPr>
        <w:spacing w:before="180" w:after="60"/>
      </w:pPr>
      <w:r>
        <w:rPr>
          <w:b/>
          <w:bCs/>
          <w:color w:val="1E2761"/>
          <w:sz w:val="22"/>
          <w:szCs w:val="22"/>
        </w:rPr>
        <w:t xml:space="preserve">Criterios para evaluar la respuesta de cada participante.  </w:t>
      </w:r>
    </w:p>
    <w:p w14:paraId="2996E9EC" w14:textId="77777777" w:rsidR="00C17424" w:rsidRDefault="006C483F">
      <w:pPr>
        <w:spacing w:after="100"/>
      </w:pPr>
      <w:r>
        <w:rPr>
          <w:b/>
          <w:bCs/>
          <w:color w:val="B8790E"/>
          <w:sz w:val="21"/>
          <w:szCs w:val="21"/>
        </w:rPr>
        <w:t xml:space="preserve">Propuesta de respuesta: </w:t>
      </w:r>
      <w:r>
        <w:rPr>
          <w:color w:val="333333"/>
          <w:sz w:val="21"/>
          <w:szCs w:val="21"/>
        </w:rPr>
        <w:t>Una respuesta completa identifica un riesgo real y específico del proceso elegido, no una afirmación genérica ("puede haber errores"); lo clasifica correctamente en una de las seis categorías vistas (estratégico, operativo, financiero, cumplimiento, tecnológico, reputacional); lo ubica en la matriz de probabilidad e impacto con una justificación breve y razonable; y propone una estrategia de respuesta (evitar, reducir, transferir o aceptar) coherente con esa ubicación — por ejemplo, un riesgo de alta probabilidad y alto impacto no debería resolverse solo con "aceptar".</w:t>
      </w:r>
    </w:p>
    <w:p w14:paraId="1D98DDC6" w14:textId="77777777" w:rsidR="00C17424" w:rsidRDefault="006C483F">
      <w:pPr>
        <w:pStyle w:val="Ttulo1"/>
        <w:pBdr>
          <w:bottom w:val="single" w:sz="6" w:space="4" w:color="1E2761"/>
        </w:pBdr>
        <w:spacing w:before="400" w:after="160"/>
      </w:pPr>
      <w:r>
        <w:rPr>
          <w:b/>
          <w:bCs/>
          <w:color w:val="1E2761"/>
          <w:sz w:val="30"/>
          <w:szCs w:val="30"/>
        </w:rPr>
        <w:t>Módulo 4 — Caso: del hallazgo al plan de remediación</w:t>
      </w:r>
    </w:p>
    <w:p w14:paraId="0C80C302" w14:textId="77777777" w:rsidR="00C17424" w:rsidRDefault="006C483F">
      <w:pPr>
        <w:pBdr>
          <w:top w:val="single" w:sz="4" w:space="8" w:color="CADCFC"/>
          <w:left w:val="single" w:sz="4" w:space="8" w:color="CADCFC"/>
          <w:bottom w:val="single" w:sz="4" w:space="8" w:color="CADCFC"/>
          <w:right w:val="single" w:sz="4" w:space="8" w:color="CADCFC"/>
        </w:pBdr>
        <w:shd w:val="clear" w:color="auto" w:fill="F2F5FC"/>
        <w:spacing w:before="80" w:after="160"/>
      </w:pPr>
      <w:r>
        <w:rPr>
          <w:b/>
          <w:bCs/>
          <w:i/>
          <w:iCs/>
          <w:color w:val="1E2761"/>
          <w:sz w:val="22"/>
          <w:szCs w:val="22"/>
        </w:rPr>
        <w:t xml:space="preserve">Escenario: </w:t>
      </w:r>
      <w:r>
        <w:rPr>
          <w:i/>
          <w:iCs/>
          <w:color w:val="333333"/>
          <w:sz w:val="22"/>
          <w:szCs w:val="22"/>
        </w:rPr>
        <w:t>La auditoría interna encontró que, en los últimos 3 meses, el 20% de las órdenes de compra se autorizaron después de haberse recibido la mercancía.</w:t>
      </w:r>
    </w:p>
    <w:p w14:paraId="42C5E18B" w14:textId="77777777" w:rsidR="00C17424" w:rsidRDefault="006C483F">
      <w:pPr>
        <w:spacing w:before="180" w:after="60"/>
      </w:pPr>
      <w:r>
        <w:rPr>
          <w:b/>
          <w:bCs/>
          <w:color w:val="1E2761"/>
          <w:sz w:val="22"/>
          <w:szCs w:val="22"/>
        </w:rPr>
        <w:t xml:space="preserve">Tarea 1.  </w:t>
      </w:r>
      <w:r>
        <w:rPr>
          <w:i/>
          <w:iCs/>
          <w:color w:val="666666"/>
          <w:sz w:val="22"/>
          <w:szCs w:val="22"/>
        </w:rPr>
        <w:t>Redacte el hallazgo en una frase clara, basada en el hecho.</w:t>
      </w:r>
    </w:p>
    <w:p w14:paraId="3C6A65B7" w14:textId="77777777" w:rsidR="00C17424" w:rsidRDefault="006C483F">
      <w:pPr>
        <w:spacing w:after="100"/>
      </w:pPr>
      <w:r>
        <w:rPr>
          <w:b/>
          <w:bCs/>
          <w:color w:val="B8790E"/>
          <w:sz w:val="21"/>
          <w:szCs w:val="21"/>
        </w:rPr>
        <w:t xml:space="preserve">Propuesta de respuesta: </w:t>
      </w:r>
      <w:r>
        <w:rPr>
          <w:color w:val="333333"/>
          <w:sz w:val="21"/>
          <w:szCs w:val="21"/>
        </w:rPr>
        <w:t xml:space="preserve">"En una muestra de órdenes de compra revisadas de los últimos tres meses, el 20% muestra que la autorización se registró en el sistema después de la fecha de recepción de la mercancía, lo que </w:t>
      </w:r>
      <w:r>
        <w:rPr>
          <w:color w:val="333333"/>
          <w:sz w:val="21"/>
          <w:szCs w:val="21"/>
        </w:rPr>
        <w:lastRenderedPageBreak/>
        <w:t>evidencia un incumplimiento sistemático del control de autorización previa establecido en la política de compras." Nótese que la frase describe el hecho y su magnitud, sin suponer intenciones ni atribuir culpas.</w:t>
      </w:r>
    </w:p>
    <w:p w14:paraId="58CCFD9D" w14:textId="77777777" w:rsidR="00C17424" w:rsidRDefault="006C483F">
      <w:pPr>
        <w:spacing w:before="180" w:after="60"/>
      </w:pPr>
      <w:r>
        <w:rPr>
          <w:b/>
          <w:bCs/>
          <w:color w:val="1E2761"/>
          <w:sz w:val="22"/>
          <w:szCs w:val="22"/>
        </w:rPr>
        <w:t xml:space="preserve">Tarea 2.  </w:t>
      </w:r>
      <w:r>
        <w:rPr>
          <w:i/>
          <w:iCs/>
          <w:color w:val="666666"/>
          <w:sz w:val="22"/>
          <w:szCs w:val="22"/>
        </w:rPr>
        <w:t>Proponga una hipótesis de causa raíz.</w:t>
      </w:r>
    </w:p>
    <w:p w14:paraId="4B2A4B99" w14:textId="77777777" w:rsidR="00C17424" w:rsidRDefault="006C483F">
      <w:pPr>
        <w:spacing w:after="100"/>
      </w:pPr>
      <w:r>
        <w:rPr>
          <w:b/>
          <w:bCs/>
          <w:color w:val="B8790E"/>
          <w:sz w:val="21"/>
          <w:szCs w:val="21"/>
        </w:rPr>
        <w:t xml:space="preserve">Propuesta de respuesta: </w:t>
      </w:r>
      <w:r>
        <w:rPr>
          <w:color w:val="333333"/>
          <w:sz w:val="21"/>
          <w:szCs w:val="21"/>
        </w:rPr>
        <w:t>Conviene plantear más de una hipótesis y validarlas antes de cerrar el análisis. Es posible que el sistema no impida registrar la recepción de mercancía sin una autorización previa (una falla de diseño del control automatizado); que los autorizadores tengan una carga de trabajo alta y aprueben en lote varios días después, mientras la operación no espera esa autorización por presión del negocio; o que, al no existir seguimiento ni consecuencia visible por incumplir la secuencia, la práctica se haya normalizado con el tiempo.</w:t>
      </w:r>
    </w:p>
    <w:p w14:paraId="30A30513" w14:textId="77777777" w:rsidR="00C17424" w:rsidRDefault="006C483F">
      <w:pPr>
        <w:spacing w:before="180" w:after="60"/>
      </w:pPr>
      <w:r>
        <w:rPr>
          <w:b/>
          <w:bCs/>
          <w:color w:val="1E2761"/>
          <w:sz w:val="22"/>
          <w:szCs w:val="22"/>
        </w:rPr>
        <w:t xml:space="preserve">Tarea 3.  </w:t>
      </w:r>
      <w:r>
        <w:rPr>
          <w:i/>
          <w:iCs/>
          <w:color w:val="666666"/>
          <w:sz w:val="22"/>
          <w:szCs w:val="22"/>
        </w:rPr>
        <w:t>Defina una acción correctiva con responsable y plazo.</w:t>
      </w:r>
    </w:p>
    <w:p w14:paraId="7906713B" w14:textId="77777777" w:rsidR="00C17424" w:rsidRDefault="006C483F">
      <w:pPr>
        <w:spacing w:after="100"/>
      </w:pPr>
      <w:r>
        <w:rPr>
          <w:b/>
          <w:bCs/>
          <w:color w:val="B8790E"/>
          <w:sz w:val="21"/>
          <w:szCs w:val="21"/>
        </w:rPr>
        <w:t xml:space="preserve">Propuesta de respuesta: </w:t>
      </w:r>
      <w:r>
        <w:rPr>
          <w:color w:val="333333"/>
          <w:sz w:val="21"/>
          <w:szCs w:val="21"/>
        </w:rPr>
        <w:t>Acción principal: configurar en el sistema un bloqueo que impida registrar la recepción de mercancía sin una orden de compra previamente autorizada. Responsable: Gerencia de Sistemas o TI, en coordinación con el área de Compras. Plazo: 30 días para el ajuste del sistema, más 15 días adicionales de capacitación y comunicación a los responsables de recepción y autorización antes de que el bloqueo entre en vigor. Mientras se implementa, conviene un control interino: una revisión quincenal de excepciones a cargo del responsable de Compras.</w:t>
      </w:r>
    </w:p>
    <w:p w14:paraId="0732E1A4" w14:textId="77777777" w:rsidR="00C17424" w:rsidRDefault="006C483F">
      <w:pPr>
        <w:pStyle w:val="Ttulo1"/>
        <w:pBdr>
          <w:bottom w:val="single" w:sz="6" w:space="4" w:color="1E2761"/>
        </w:pBdr>
        <w:spacing w:before="400" w:after="160"/>
      </w:pPr>
      <w:r>
        <w:rPr>
          <w:b/>
          <w:bCs/>
          <w:color w:val="1E2761"/>
          <w:sz w:val="30"/>
          <w:szCs w:val="30"/>
        </w:rPr>
        <w:t>Módulo 5 — Caso: un riesgo emergente en su organización</w:t>
      </w:r>
    </w:p>
    <w:p w14:paraId="46071822" w14:textId="77777777" w:rsidR="00C17424" w:rsidRDefault="006C483F">
      <w:pPr>
        <w:pBdr>
          <w:top w:val="single" w:sz="4" w:space="8" w:color="CADCFC"/>
          <w:left w:val="single" w:sz="4" w:space="8" w:color="CADCFC"/>
          <w:bottom w:val="single" w:sz="4" w:space="8" w:color="CADCFC"/>
          <w:right w:val="single" w:sz="4" w:space="8" w:color="CADCFC"/>
        </w:pBdr>
        <w:shd w:val="clear" w:color="auto" w:fill="F2F5FC"/>
        <w:spacing w:before="80" w:after="160"/>
      </w:pPr>
      <w:r>
        <w:rPr>
          <w:b/>
          <w:bCs/>
          <w:i/>
          <w:iCs/>
          <w:color w:val="1E2761"/>
          <w:sz w:val="22"/>
          <w:szCs w:val="22"/>
        </w:rPr>
        <w:t xml:space="preserve">Escenario: </w:t>
      </w:r>
      <w:r>
        <w:rPr>
          <w:i/>
          <w:iCs/>
          <w:color w:val="333333"/>
          <w:sz w:val="22"/>
          <w:szCs w:val="22"/>
        </w:rPr>
        <w:t>Elija uno de los cuatro temas del módulo: digitalización, ciberseguridad, inteligencia artificial o sostenibilidad.</w:t>
      </w:r>
    </w:p>
    <w:p w14:paraId="1935BC1A" w14:textId="29B12EF5" w:rsidR="00C17424" w:rsidRDefault="006C483F">
      <w:pPr>
        <w:spacing w:before="120" w:after="200"/>
      </w:pPr>
      <w:r>
        <w:rPr>
          <w:b/>
          <w:bCs/>
          <w:i/>
          <w:iCs/>
          <w:color w:val="666666"/>
        </w:rPr>
        <w:t xml:space="preserve">Nota: </w:t>
      </w:r>
      <w:r>
        <w:rPr>
          <w:i/>
          <w:iCs/>
          <w:color w:val="666666"/>
        </w:rPr>
        <w:t>Como en el ejercicio del módulo 3, aquí cada participante trabaja sobre su propia organización, así que no hay una única respuesta correcta. Se incluye un ejemplo breve por cada uno de los cuatro temas, para que tenga una referencia lista sin importar cuál elija el grupo.</w:t>
      </w:r>
    </w:p>
    <w:p w14:paraId="3D7DEC90" w14:textId="77777777" w:rsidR="00C17424" w:rsidRDefault="006C483F">
      <w:pPr>
        <w:spacing w:before="140" w:after="40"/>
      </w:pPr>
      <w:r>
        <w:rPr>
          <w:b/>
          <w:bCs/>
          <w:color w:val="1E2761"/>
          <w:sz w:val="21"/>
          <w:szCs w:val="21"/>
        </w:rPr>
        <w:t>Ejemplo — Ciberseguridad</w:t>
      </w:r>
    </w:p>
    <w:p w14:paraId="22E93638" w14:textId="77777777" w:rsidR="00C17424" w:rsidRDefault="006C483F">
      <w:pPr>
        <w:pStyle w:val="Prrafodelista"/>
        <w:numPr>
          <w:ilvl w:val="0"/>
          <w:numId w:val="1"/>
        </w:numPr>
        <w:spacing w:after="40"/>
      </w:pPr>
      <w:r>
        <w:rPr>
          <w:color w:val="333333"/>
          <w:sz w:val="21"/>
          <w:szCs w:val="21"/>
        </w:rPr>
        <w:t>Cómo afecta al área: dependencia de un proveedor externo de nómina en la nube; un incidente de seguridad en ese proveedor dejaría a la organización sin acceso a la información de pago del personal.</w:t>
      </w:r>
    </w:p>
    <w:p w14:paraId="67D1B704" w14:textId="77777777" w:rsidR="00C17424" w:rsidRDefault="006C483F">
      <w:pPr>
        <w:pStyle w:val="Prrafodelista"/>
        <w:numPr>
          <w:ilvl w:val="0"/>
          <w:numId w:val="1"/>
        </w:numPr>
        <w:spacing w:after="40"/>
      </w:pPr>
      <w:r>
        <w:rPr>
          <w:color w:val="333333"/>
          <w:sz w:val="21"/>
          <w:szCs w:val="21"/>
        </w:rPr>
        <w:t>En la matriz: probabilidad media, impacto alto — actuar / mitigar.</w:t>
      </w:r>
    </w:p>
    <w:p w14:paraId="736708E4" w14:textId="77777777" w:rsidR="00C17424" w:rsidRDefault="006C483F">
      <w:pPr>
        <w:pStyle w:val="Prrafodelista"/>
        <w:numPr>
          <w:ilvl w:val="0"/>
          <w:numId w:val="1"/>
        </w:numPr>
        <w:spacing w:after="40"/>
      </w:pPr>
      <w:r>
        <w:rPr>
          <w:color w:val="333333"/>
          <w:sz w:val="21"/>
          <w:szCs w:val="21"/>
        </w:rPr>
        <w:t>Primera acción a 30 días: solicitar al proveedor su certificación de seguridad y su plan de continuidad, y definir un respaldo interno mínimo de la información crítica.</w:t>
      </w:r>
    </w:p>
    <w:p w14:paraId="52CCF702" w14:textId="77777777" w:rsidR="00C17424" w:rsidRDefault="006C483F">
      <w:pPr>
        <w:spacing w:before="140" w:after="40"/>
      </w:pPr>
      <w:r>
        <w:rPr>
          <w:b/>
          <w:bCs/>
          <w:color w:val="1E2761"/>
          <w:sz w:val="21"/>
          <w:szCs w:val="21"/>
        </w:rPr>
        <w:t>Ejemplo — Inteligencia artificial</w:t>
      </w:r>
    </w:p>
    <w:p w14:paraId="1C2CDC06" w14:textId="77777777" w:rsidR="00C17424" w:rsidRDefault="006C483F">
      <w:pPr>
        <w:pStyle w:val="Prrafodelista"/>
        <w:numPr>
          <w:ilvl w:val="0"/>
          <w:numId w:val="1"/>
        </w:numPr>
        <w:spacing w:after="40"/>
      </w:pPr>
      <w:r>
        <w:rPr>
          <w:color w:val="333333"/>
          <w:sz w:val="21"/>
          <w:szCs w:val="21"/>
        </w:rPr>
        <w:t xml:space="preserve">Cómo afecta al área: se evalúa introducir un </w:t>
      </w:r>
      <w:proofErr w:type="spellStart"/>
      <w:r>
        <w:rPr>
          <w:color w:val="333333"/>
          <w:sz w:val="21"/>
          <w:szCs w:val="21"/>
        </w:rPr>
        <w:t>chatbot</w:t>
      </w:r>
      <w:proofErr w:type="spellEnd"/>
      <w:r>
        <w:rPr>
          <w:color w:val="333333"/>
          <w:sz w:val="21"/>
          <w:szCs w:val="21"/>
        </w:rPr>
        <w:t xml:space="preserve"> con IA en atención a clientes; riesgo de respuestas incorrectas o sesgadas sin supervisión humana.</w:t>
      </w:r>
    </w:p>
    <w:p w14:paraId="000192EC" w14:textId="77777777" w:rsidR="00C17424" w:rsidRDefault="006C483F">
      <w:pPr>
        <w:pStyle w:val="Prrafodelista"/>
        <w:numPr>
          <w:ilvl w:val="0"/>
          <w:numId w:val="1"/>
        </w:numPr>
        <w:spacing w:after="40"/>
      </w:pPr>
      <w:r>
        <w:rPr>
          <w:color w:val="333333"/>
          <w:sz w:val="21"/>
          <w:szCs w:val="21"/>
        </w:rPr>
        <w:t>En la matriz: probabilidad media, impacto medio.</w:t>
      </w:r>
    </w:p>
    <w:p w14:paraId="576E18D0" w14:textId="77777777" w:rsidR="00C17424" w:rsidRDefault="006C483F">
      <w:pPr>
        <w:pStyle w:val="Prrafodelista"/>
        <w:numPr>
          <w:ilvl w:val="0"/>
          <w:numId w:val="1"/>
        </w:numPr>
        <w:spacing w:after="40"/>
      </w:pPr>
      <w:r>
        <w:rPr>
          <w:color w:val="333333"/>
          <w:sz w:val="21"/>
          <w:szCs w:val="21"/>
        </w:rPr>
        <w:t xml:space="preserve">Primera acción a 30 días: definir un protocolo de revisión humana sobre una muestra de las respuestas del </w:t>
      </w:r>
      <w:proofErr w:type="spellStart"/>
      <w:r>
        <w:rPr>
          <w:color w:val="333333"/>
          <w:sz w:val="21"/>
          <w:szCs w:val="21"/>
        </w:rPr>
        <w:t>chatbot</w:t>
      </w:r>
      <w:proofErr w:type="spellEnd"/>
      <w:r>
        <w:rPr>
          <w:color w:val="333333"/>
          <w:sz w:val="21"/>
          <w:szCs w:val="21"/>
        </w:rPr>
        <w:t xml:space="preserve"> antes de ampliar su uso.</w:t>
      </w:r>
    </w:p>
    <w:p w14:paraId="35BABC6E" w14:textId="77777777" w:rsidR="00C17424" w:rsidRDefault="006C483F">
      <w:pPr>
        <w:spacing w:before="140" w:after="40"/>
      </w:pPr>
      <w:r>
        <w:rPr>
          <w:b/>
          <w:bCs/>
          <w:color w:val="1E2761"/>
          <w:sz w:val="21"/>
          <w:szCs w:val="21"/>
        </w:rPr>
        <w:t>Ejemplo — Control interno en la era digital</w:t>
      </w:r>
    </w:p>
    <w:p w14:paraId="57DB99A2" w14:textId="77777777" w:rsidR="00C17424" w:rsidRDefault="006C483F">
      <w:pPr>
        <w:pStyle w:val="Prrafodelista"/>
        <w:numPr>
          <w:ilvl w:val="0"/>
          <w:numId w:val="1"/>
        </w:numPr>
        <w:spacing w:after="40"/>
      </w:pPr>
      <w:r>
        <w:rPr>
          <w:color w:val="333333"/>
          <w:sz w:val="21"/>
          <w:szCs w:val="21"/>
        </w:rPr>
        <w:t>Cómo afecta al área: la automatización de las aprobaciones de crédito por monto crea dependencia de que los parámetros del sistema estén bien configurados.</w:t>
      </w:r>
    </w:p>
    <w:p w14:paraId="1EA1B53E" w14:textId="77777777" w:rsidR="00C17424" w:rsidRDefault="006C483F">
      <w:pPr>
        <w:pStyle w:val="Prrafodelista"/>
        <w:numPr>
          <w:ilvl w:val="0"/>
          <w:numId w:val="1"/>
        </w:numPr>
        <w:spacing w:after="40"/>
      </w:pPr>
      <w:r>
        <w:rPr>
          <w:color w:val="333333"/>
          <w:sz w:val="21"/>
          <w:szCs w:val="21"/>
        </w:rPr>
        <w:t>En la matriz: probabilidad baja, impacto alto.</w:t>
      </w:r>
    </w:p>
    <w:p w14:paraId="3CB2D9C0" w14:textId="77777777" w:rsidR="00C17424" w:rsidRDefault="006C483F">
      <w:pPr>
        <w:pStyle w:val="Prrafodelista"/>
        <w:numPr>
          <w:ilvl w:val="0"/>
          <w:numId w:val="1"/>
        </w:numPr>
        <w:spacing w:after="40"/>
      </w:pPr>
      <w:r>
        <w:rPr>
          <w:color w:val="333333"/>
          <w:sz w:val="21"/>
          <w:szCs w:val="21"/>
        </w:rPr>
        <w:t>Primera acción a 30 días: documentar y validar, junto con el área de riesgos, los parámetros de aprobación automática actualmente vigentes en el sistema.</w:t>
      </w:r>
    </w:p>
    <w:p w14:paraId="34586681" w14:textId="77777777" w:rsidR="00C17424" w:rsidRDefault="006C483F">
      <w:pPr>
        <w:spacing w:before="140" w:after="40"/>
      </w:pPr>
      <w:r>
        <w:rPr>
          <w:b/>
          <w:bCs/>
          <w:color w:val="1E2761"/>
          <w:sz w:val="21"/>
          <w:szCs w:val="21"/>
        </w:rPr>
        <w:t>Ejemplo — Sostenibilidad</w:t>
      </w:r>
    </w:p>
    <w:p w14:paraId="3E612ED7" w14:textId="77777777" w:rsidR="00C17424" w:rsidRDefault="006C483F">
      <w:pPr>
        <w:pStyle w:val="Prrafodelista"/>
        <w:numPr>
          <w:ilvl w:val="0"/>
          <w:numId w:val="1"/>
        </w:numPr>
        <w:spacing w:after="40"/>
      </w:pPr>
      <w:r>
        <w:rPr>
          <w:color w:val="333333"/>
          <w:sz w:val="21"/>
          <w:szCs w:val="21"/>
        </w:rPr>
        <w:t>Cómo afecta al área: clientes corporativos comienzan a solicitar información ambiental y social del proveedor como parte de su propio proceso de compra.</w:t>
      </w:r>
    </w:p>
    <w:p w14:paraId="314ECEFD" w14:textId="77777777" w:rsidR="00C17424" w:rsidRDefault="006C483F">
      <w:pPr>
        <w:pStyle w:val="Prrafodelista"/>
        <w:numPr>
          <w:ilvl w:val="0"/>
          <w:numId w:val="1"/>
        </w:numPr>
        <w:spacing w:after="40"/>
      </w:pPr>
      <w:r>
        <w:rPr>
          <w:color w:val="333333"/>
          <w:sz w:val="21"/>
          <w:szCs w:val="21"/>
        </w:rPr>
        <w:t>En la matriz: probabilidad alta, impacto medio.</w:t>
      </w:r>
    </w:p>
    <w:p w14:paraId="3767946E" w14:textId="77777777" w:rsidR="00C17424" w:rsidRDefault="006C483F">
      <w:pPr>
        <w:pStyle w:val="Prrafodelista"/>
        <w:numPr>
          <w:ilvl w:val="0"/>
          <w:numId w:val="1"/>
        </w:numPr>
        <w:spacing w:after="40"/>
      </w:pPr>
      <w:r>
        <w:rPr>
          <w:color w:val="333333"/>
          <w:sz w:val="21"/>
          <w:szCs w:val="21"/>
        </w:rPr>
        <w:lastRenderedPageBreak/>
        <w:t>Primera acción a 30 días: hacer un inventario de la información ESG que la organización ya tiene disponible y de la que todavía le falta reunir.</w:t>
      </w:r>
    </w:p>
    <w:sectPr w:rsidR="00C17424">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417C7"/>
    <w:multiLevelType w:val="hybridMultilevel"/>
    <w:tmpl w:val="D6CE3548"/>
    <w:lvl w:ilvl="0" w:tplc="8B7C7946">
      <w:start w:val="1"/>
      <w:numFmt w:val="bullet"/>
      <w:lvlText w:val="●"/>
      <w:lvlJc w:val="left"/>
      <w:pPr>
        <w:ind w:left="720" w:hanging="360"/>
      </w:pPr>
    </w:lvl>
    <w:lvl w:ilvl="1" w:tplc="EB5CD3F2">
      <w:start w:val="1"/>
      <w:numFmt w:val="bullet"/>
      <w:lvlText w:val="○"/>
      <w:lvlJc w:val="left"/>
      <w:pPr>
        <w:ind w:left="1440" w:hanging="360"/>
      </w:pPr>
    </w:lvl>
    <w:lvl w:ilvl="2" w:tplc="987C7D2C">
      <w:start w:val="1"/>
      <w:numFmt w:val="bullet"/>
      <w:lvlText w:val="■"/>
      <w:lvlJc w:val="left"/>
      <w:pPr>
        <w:ind w:left="2160" w:hanging="360"/>
      </w:pPr>
    </w:lvl>
    <w:lvl w:ilvl="3" w:tplc="A620963C">
      <w:start w:val="1"/>
      <w:numFmt w:val="bullet"/>
      <w:lvlText w:val="●"/>
      <w:lvlJc w:val="left"/>
      <w:pPr>
        <w:ind w:left="2880" w:hanging="360"/>
      </w:pPr>
    </w:lvl>
    <w:lvl w:ilvl="4" w:tplc="E800D752">
      <w:start w:val="1"/>
      <w:numFmt w:val="bullet"/>
      <w:lvlText w:val="○"/>
      <w:lvlJc w:val="left"/>
      <w:pPr>
        <w:ind w:left="3600" w:hanging="360"/>
      </w:pPr>
    </w:lvl>
    <w:lvl w:ilvl="5" w:tplc="EE5E34DE">
      <w:start w:val="1"/>
      <w:numFmt w:val="bullet"/>
      <w:lvlText w:val="■"/>
      <w:lvlJc w:val="left"/>
      <w:pPr>
        <w:ind w:left="4320" w:hanging="360"/>
      </w:pPr>
    </w:lvl>
    <w:lvl w:ilvl="6" w:tplc="73D41390">
      <w:start w:val="1"/>
      <w:numFmt w:val="bullet"/>
      <w:lvlText w:val="●"/>
      <w:lvlJc w:val="left"/>
      <w:pPr>
        <w:ind w:left="5040" w:hanging="360"/>
      </w:pPr>
    </w:lvl>
    <w:lvl w:ilvl="7" w:tplc="DB3E7306">
      <w:start w:val="1"/>
      <w:numFmt w:val="bullet"/>
      <w:lvlText w:val="●"/>
      <w:lvlJc w:val="left"/>
      <w:pPr>
        <w:ind w:left="5760" w:hanging="360"/>
      </w:pPr>
    </w:lvl>
    <w:lvl w:ilvl="8" w:tplc="14FC6668">
      <w:start w:val="1"/>
      <w:numFmt w:val="bullet"/>
      <w:lvlText w:val="●"/>
      <w:lvlJc w:val="left"/>
      <w:pPr>
        <w:ind w:left="6480" w:hanging="360"/>
      </w:pPr>
    </w:lvl>
  </w:abstractNum>
  <w:num w:numId="1" w16cid:durableId="17360051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424"/>
    <w:rsid w:val="00096A79"/>
    <w:rsid w:val="001D10A1"/>
    <w:rsid w:val="0031303C"/>
    <w:rsid w:val="00381170"/>
    <w:rsid w:val="0049516B"/>
    <w:rsid w:val="0053124E"/>
    <w:rsid w:val="006B4556"/>
    <w:rsid w:val="006C483F"/>
    <w:rsid w:val="006C6892"/>
    <w:rsid w:val="009611A4"/>
    <w:rsid w:val="009C59F8"/>
    <w:rsid w:val="00A77D76"/>
    <w:rsid w:val="00C17424"/>
    <w:rsid w:val="00FB1B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1BD65"/>
  <w15:docId w15:val="{44349320-DB4F-426F-8853-73801583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1716</Words>
  <Characters>9204</Characters>
  <Application>Microsoft Office Word</Application>
  <DocSecurity>0</DocSecurity>
  <Lines>127</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Ramón Miranda</cp:lastModifiedBy>
  <cp:revision>10</cp:revision>
  <dcterms:created xsi:type="dcterms:W3CDTF">2026-09-09T01:16:00Z</dcterms:created>
  <dcterms:modified xsi:type="dcterms:W3CDTF">2026-09-10T14:27:00Z</dcterms:modified>
</cp:coreProperties>
</file>