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E467E8D" w14:textId="77777777" w:rsidR="002945A1" w:rsidRPr="00D10D7B" w:rsidRDefault="002945A1" w:rsidP="002945A1">
      <w:pPr>
        <w:jc w:val="both"/>
        <w:rPr>
          <w:rFonts w:ascii="Times New Roman" w:eastAsia="Times New Roman" w:hAnsi="Times New Roman" w:cs="Times New Roman"/>
          <w:sz w:val="24"/>
          <w:szCs w:val="24"/>
          <w:lang w:eastAsia="es-MX"/>
        </w:rPr>
      </w:pPr>
      <w:r w:rsidRPr="00D10D7B">
        <w:rPr>
          <w:rFonts w:ascii="Arial" w:eastAsia="Times New Roman" w:hAnsi="Arial" w:cs="Arial"/>
          <w:b/>
          <w:bCs/>
          <w:color w:val="000000"/>
          <w:sz w:val="24"/>
          <w:szCs w:val="24"/>
          <w:lang w:eastAsia="es-MX"/>
        </w:rPr>
        <w:t>Acreditamiento de estímulos fiscales</w:t>
      </w:r>
    </w:p>
    <w:p w14:paraId="36661CDC" w14:textId="360824E9" w:rsidR="008A6EE3" w:rsidRDefault="002945A1" w:rsidP="002945A1">
      <w:pPr>
        <w:ind w:hanging="432"/>
        <w:jc w:val="both"/>
        <w:rPr>
          <w:rFonts w:ascii="Arial" w:eastAsia="Times New Roman" w:hAnsi="Arial" w:cs="Arial"/>
          <w:b/>
          <w:bCs/>
          <w:sz w:val="24"/>
          <w:szCs w:val="24"/>
          <w:lang w:eastAsia="es-MX"/>
        </w:rPr>
      </w:pPr>
      <w:r w:rsidRPr="00D10D7B">
        <w:rPr>
          <w:rFonts w:ascii="Arial" w:eastAsia="Times New Roman" w:hAnsi="Arial" w:cs="Arial"/>
          <w:b/>
          <w:bCs/>
          <w:sz w:val="24"/>
          <w:szCs w:val="24"/>
          <w:lang w:eastAsia="es-MX"/>
        </w:rPr>
        <w:t>1.14.</w:t>
      </w:r>
      <w:r w:rsidRPr="00D10D7B">
        <w:rPr>
          <w:rFonts w:ascii="Arial" w:eastAsia="Times New Roman" w:hAnsi="Arial" w:cs="Arial"/>
          <w:sz w:val="24"/>
          <w:szCs w:val="24"/>
          <w:lang w:eastAsia="es-MX"/>
        </w:rPr>
        <w:t> Los contribuyentes dedicados exclusivamente a las actividades agrícolas, silvícolas, ganaderas o pesqueras, que cumplan con sus obligaciones fiscales en los términos del artículo 74 de la Ley del ISR, que obtengan en el ejercicio fiscal ingresos totales anuales para los efectos del ISR menores a 60 millones de pesos, conforme a lo dispuesto por el artículo 16, apartado A, fracción II, último párrafo de la LIF, podrán efectuar el acreditamiento del estímulo fiscal a que se refiere dicha disposición contra el ISR propio causado en el ejercicio que tenga el contribuyente, correspondiente al mismo ejercicio en que se importe o adquiera combustible,</w:t>
      </w:r>
      <w:r w:rsidRPr="00F82FE7">
        <w:rPr>
          <w:rFonts w:ascii="Arial" w:eastAsia="Times New Roman" w:hAnsi="Arial" w:cs="Arial"/>
          <w:b/>
          <w:bCs/>
          <w:sz w:val="24"/>
          <w:szCs w:val="24"/>
          <w:lang w:eastAsia="es-MX"/>
        </w:rPr>
        <w:t xml:space="preserve"> o contra las retenciones del ISR efectuadas a terceros en el mismo.</w:t>
      </w:r>
    </w:p>
    <w:p w14:paraId="717CC4ED" w14:textId="5A9BA079" w:rsidR="002945A1" w:rsidRDefault="002945A1" w:rsidP="002945A1">
      <w:pPr>
        <w:ind w:hanging="432"/>
        <w:jc w:val="both"/>
        <w:rPr>
          <w:rFonts w:ascii="Arial" w:eastAsia="Times New Roman" w:hAnsi="Arial" w:cs="Arial"/>
          <w:b/>
          <w:bCs/>
          <w:sz w:val="24"/>
          <w:szCs w:val="24"/>
          <w:lang w:eastAsia="es-MX"/>
        </w:rPr>
      </w:pPr>
    </w:p>
    <w:p w14:paraId="1F681CD9" w14:textId="7B3C8B9B" w:rsidR="002945A1" w:rsidRPr="002945A1" w:rsidRDefault="002945A1" w:rsidP="002945A1">
      <w:pPr>
        <w:ind w:hanging="432"/>
        <w:jc w:val="both"/>
        <w:rPr>
          <w:rFonts w:ascii="Arial" w:eastAsia="Times New Roman" w:hAnsi="Arial" w:cs="Arial"/>
          <w:b/>
          <w:bCs/>
          <w:sz w:val="24"/>
          <w:szCs w:val="24"/>
          <w:lang w:eastAsia="es-MX"/>
        </w:rPr>
      </w:pPr>
      <w:r>
        <w:rPr>
          <w:rFonts w:ascii="Arial" w:eastAsia="Times New Roman" w:hAnsi="Arial" w:cs="Arial"/>
          <w:b/>
          <w:bCs/>
          <w:sz w:val="24"/>
          <w:szCs w:val="24"/>
          <w:lang w:eastAsia="es-MX"/>
        </w:rPr>
        <w:t>DOF 18022020</w:t>
      </w:r>
    </w:p>
    <w:sectPr w:rsidR="002945A1" w:rsidRPr="002945A1">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45A1"/>
    <w:rsid w:val="002945A1"/>
    <w:rsid w:val="008A6EE3"/>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B287BE"/>
  <w15:chartTrackingRefBased/>
  <w15:docId w15:val="{EDA952F6-C721-490E-A582-0F6B9300E3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945A1"/>
    <w:pPr>
      <w:spacing w:after="0" w:line="240" w:lineRule="auto"/>
    </w:pPr>
    <w:rPr>
      <w:rFonts w:ascii="Comic Sans MS" w:hAnsi="Comic Sans MS"/>
      <w:sz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119</Words>
  <Characters>659</Characters>
  <Application>Microsoft Office Word</Application>
  <DocSecurity>0</DocSecurity>
  <Lines>5</Lines>
  <Paragraphs>1</Paragraphs>
  <ScaleCrop>false</ScaleCrop>
  <Company/>
  <LinksUpToDate>false</LinksUpToDate>
  <CharactersWithSpaces>777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Corporativo D.G.</dc:creator>
  <cp:keywords/>
  <dc:description/>
  <cp:lastModifiedBy>Corporativo D.G.</cp:lastModifiedBy>
  <cp:revision>1</cp:revision>
  <dcterms:created xsi:type="dcterms:W3CDTF">2020-08-22T01:55:00Z</dcterms:created>
  <dcterms:modified xsi:type="dcterms:W3CDTF">2020-08-22T01:56:00Z</dcterms:modified>
</cp:coreProperties>
</file>